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>Դեղորայքի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 xml:space="preserve"> մարտի 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</w:t>
      </w:r>
      <w:r w:rsidR="001A12E0">
        <w:rPr>
          <w:rFonts w:ascii="GHEA Grapalat" w:hAnsi="GHEA Grapalat" w:cs="Sylfaen"/>
          <w:b/>
          <w:sz w:val="17"/>
          <w:szCs w:val="17"/>
          <w:lang w:val="af-ZA"/>
        </w:rPr>
        <w:t>20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="00F37D3C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979AD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"/>
        <w:gridCol w:w="9526"/>
        <w:gridCol w:w="1246"/>
        <w:gridCol w:w="1246"/>
        <w:gridCol w:w="1096"/>
        <w:gridCol w:w="1214"/>
        <w:gridCol w:w="1301"/>
      </w:tblGrid>
      <w:tr w:rsidR="00690FB5" w:rsidRPr="00F26D6F" w:rsidTr="00187D18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928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83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720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773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928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3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337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773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928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3" w:type="pct"/>
            <w:vMerge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37" w:type="pct"/>
            <w:vMerge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73" w:type="pc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00" w:type="pc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Վիտամիններ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Ասկորբինաթթու, ascorbic acid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278,000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7,161,280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9D6A26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A,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Bl,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B2,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C vitamin A, vitamin Bl, vitamin B2, vitamin C/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6,725,400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27,910,410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795F18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Էնօքսապարին</w:t>
            </w:r>
            <w:r w:rsidRPr="007D68BA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b01ab05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Էն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o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քսապարին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էն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o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քսապարինի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նատրիումական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աղ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/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6,206,000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Պովիդոն յոդ d08ag02, d09aa09, d11ac06, g01ax11, r02aa15, s01ax18 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Պովիդոն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յոդ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povidone-iodine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շիշ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7,800,000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795F18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Կետոպրոֆեն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m01ae03, m02aa10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Կետոպրոֆեն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ketoprofen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6,828,000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Ամպիցիլին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j01ca01, s01aa19 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Ամպիցիլին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ամպիցիլինի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), ampicillin (ampicillin sodium)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35,000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6,552,000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Ամօքսիցիլին j01ca04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Ամօքսիցիլին, amoxicillin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100,000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5,260,000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8.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Ամօքսիցիլին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+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քլավու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softHyphen/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լանաթթու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j01cr02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տրիհիդրատ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քլավուլանաթթու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քլավուլանատ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), amoxicillin (amoxicillin trihydrate), clavulanic acid (potassium clavulanate)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8,592,000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9.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Բենզիլպենիցիլինի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աղեր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j01ce01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Բենզիլպենիցիլինի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benzylpenicillin sodium/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120,000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11,904,000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10.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Ցեֆազոլին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j01db04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Ցեֆազոլին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ցեֆազոլինի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նատրիումական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աղ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cefazolin (cefazolin sodium)/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35,000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5,936,000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Ցեֆտրիաքսոն</w:t>
            </w:r>
            <w:r w:rsidRPr="0054656C">
              <w:rPr>
                <w:rFonts w:ascii="GHEA Grapalat" w:eastAsia="Times New Roman" w:hAnsi="GHEA Grapalat" w:cs="Arial Armenian"/>
                <w:b/>
                <w:sz w:val="18"/>
                <w:szCs w:val="18"/>
              </w:rPr>
              <w:t xml:space="preserve"> j01dd0</w:t>
            </w:r>
            <w:r w:rsidRPr="0054656C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  <w:r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Ցեֆտրիաքսոն, ceftriaxone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13,824,000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Իմիպենեմ</w:t>
            </w:r>
            <w:r w:rsidRPr="00DB1672">
              <w:rPr>
                <w:rFonts w:ascii="GHEA Grapalat" w:eastAsia="Times New Roman" w:hAnsi="GHEA Grapalat" w:cs="Arial Armenian"/>
                <w:b/>
                <w:sz w:val="18"/>
                <w:szCs w:val="18"/>
                <w:lang w:val="af-ZA"/>
              </w:rPr>
              <w:t xml:space="preserve">+ 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ցիլաստատին</w:t>
            </w:r>
            <w:r w:rsidRPr="00DB1672">
              <w:rPr>
                <w:rFonts w:ascii="GHEA Grapalat" w:eastAsia="Times New Roman" w:hAnsi="GHEA Grapalat" w:cs="Arial Armenian"/>
                <w:b/>
                <w:sz w:val="18"/>
                <w:szCs w:val="18"/>
                <w:lang w:val="af-ZA"/>
              </w:rPr>
              <w:t xml:space="preserve"> j01dh5</w:t>
            </w:r>
            <w:r w:rsidRPr="00DB1672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1 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Իմիպենեմ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ցիլաստատինի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, imipenem, cilastatin sodium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1,622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10,380,800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Ցեֆտազիդիմ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j01dd02 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Ցեֆտազիդիմ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ցեֆտազիդիմի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պենտահիդրատ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ceftazidime (ceftazidime pentahydrate)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9,764,800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j01fa10, s01aa26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azithromycin/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18,000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6,714,000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j01fa10, s01aa26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դիհիդրատ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azithromycin (azithromycin dihydrate)/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13,440,000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Ցիպրոֆլօքսացին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j01ma02, s01ae03, s02aa15, s03aa07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Ցիպրոֆլօքսացինի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հիդրոքլորիդ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ciprofloxacin hydrochloride/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150,000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5,436,000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Մոքսիֆլօքսացին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j01ma14, s01ae07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Մօքսիֆլօքսացին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մօքսիֆլօքսացինի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հիդրոքլորիդ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moxifloxacin (moxifloxacin hydrochloride), sodium 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6,350,400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18.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Մերոպենեմ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j01dh02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Մերոպենեմ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մերոպենեմի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տրիհիդրատ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meropenem (meropenem trihydrate)/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12,420,000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19.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Հակաթունային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շիճուկ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(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օձի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) j06aa03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Օձի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պոլիվալենտ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սիճուկ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տուփ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7,840,000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20.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Իզոֆլուրան n01ab06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Իզոֆլուրան isoflurane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10,913,920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Նատրիումի քլորիդ, կալիումի քլորիդ, կալցիումի քլորիդ (ռինգերի լուծույթ) </w:t>
            </w:r>
          </w:p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կալցիումի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sodium chloride, potassium chloride, calcium chloride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9,408,000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Նատրիումի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քլորիդ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a12ca01, b05cb01, b05xa03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sodium 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50,000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15,200,000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Ացետիլցիստեին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r05cb01, v03ab23, s01xa08 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Ացետիլցիստեին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acetylcysteine/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100,000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8,996,000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Այլ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դեղորայք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3A4CFC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Պիպերացիլին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պիպերացիլինի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տազոբակտամ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տազոբակտամի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piperacillin (piperacillin sodium), tazobactam (tazobactam sodium)/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5,821,440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Այլ դեղորայք</w:t>
            </w:r>
            <w:r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Ցեֆոպերազոն, սուլբակտամ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8,400,000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Ալբումին</w:t>
            </w:r>
            <w:r w:rsidRPr="003A4CFC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Մարդու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ալբումին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human albumin/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14,355,840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Նադրոպարինի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կալցիումական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աղ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- b01ab06 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Նադրոպարին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կալցիում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nadroparin calcium/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6,528,000</w:t>
            </w:r>
          </w:p>
        </w:tc>
      </w:tr>
    </w:tbl>
    <w:p w:rsidR="004D30C9" w:rsidRPr="000A42F7" w:rsidRDefault="004D30C9" w:rsidP="007E292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9"/>
        <w:gridCol w:w="204"/>
        <w:gridCol w:w="30"/>
        <w:gridCol w:w="185"/>
        <w:gridCol w:w="593"/>
        <w:gridCol w:w="1483"/>
        <w:gridCol w:w="392"/>
        <w:gridCol w:w="442"/>
        <w:gridCol w:w="155"/>
        <w:gridCol w:w="432"/>
        <w:gridCol w:w="567"/>
        <w:gridCol w:w="138"/>
        <w:gridCol w:w="283"/>
        <w:gridCol w:w="1401"/>
        <w:gridCol w:w="13"/>
        <w:gridCol w:w="33"/>
        <w:gridCol w:w="415"/>
        <w:gridCol w:w="616"/>
        <w:gridCol w:w="442"/>
        <w:gridCol w:w="287"/>
        <w:gridCol w:w="735"/>
        <w:gridCol w:w="158"/>
        <w:gridCol w:w="320"/>
        <w:gridCol w:w="419"/>
        <w:gridCol w:w="719"/>
        <w:gridCol w:w="234"/>
        <w:gridCol w:w="1022"/>
        <w:gridCol w:w="165"/>
        <w:gridCol w:w="857"/>
        <w:gridCol w:w="1117"/>
        <w:gridCol w:w="1045"/>
      </w:tblGrid>
      <w:tr w:rsidR="004D30C9" w:rsidRPr="00DB4BD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lastRenderedPageBreak/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5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D32DE1">
              <w:rPr>
                <w:rFonts w:ascii="GHEA Grapalat" w:hAnsi="GHEA Grapalat"/>
                <w:b/>
                <w:bCs/>
                <w:sz w:val="10"/>
                <w:szCs w:val="10"/>
              </w:rPr>
              <w:t>Գ</w:t>
            </w:r>
            <w:r w:rsidRPr="00D32DE1">
              <w:rPr>
                <w:rFonts w:ascii="GHEA Grapalat" w:hAnsi="GHEA Grapalat"/>
                <w:b/>
                <w:bCs/>
                <w:sz w:val="10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0B588C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0B588C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0B588C">
        <w:trPr>
          <w:trHeight w:val="20"/>
          <w:jc w:val="center"/>
        </w:trPr>
        <w:tc>
          <w:tcPr>
            <w:tcW w:w="2853" w:type="pct"/>
            <w:gridSpan w:val="19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48271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482715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DB4BD6" w:rsidTr="000B588C">
        <w:trPr>
          <w:trHeight w:val="20"/>
          <w:jc w:val="center"/>
        </w:trPr>
        <w:tc>
          <w:tcPr>
            <w:tcW w:w="2406" w:type="pct"/>
            <w:gridSpan w:val="16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2406" w:type="pct"/>
            <w:gridSpan w:val="16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2406" w:type="pct"/>
            <w:gridSpan w:val="16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10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0B588C">
        <w:trPr>
          <w:trHeight w:val="393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</w:p>
        </w:tc>
      </w:tr>
      <w:tr w:rsidR="004D30C9" w:rsidRPr="00482715" w:rsidTr="000B588C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30"/>
            <w:shd w:val="clear" w:color="auto" w:fill="auto"/>
            <w:vAlign w:val="center"/>
          </w:tcPr>
          <w:p w:rsidR="004D30C9" w:rsidRPr="0099581F" w:rsidRDefault="00482715" w:rsidP="00482715">
            <w:pPr>
              <w:widowControl w:val="0"/>
              <w:spacing w:after="0" w:line="240" w:lineRule="auto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482715">
              <w:rPr>
                <w:rFonts w:ascii="GHEA Grapalat" w:hAnsi="GHEA Grapalat" w:cs="Sylfaen"/>
                <w:sz w:val="14"/>
                <w:szCs w:val="18"/>
                <w:lang w:val="es-ES"/>
              </w:rPr>
              <w:t xml:space="preserve"> 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Քանի որ </w:t>
            </w:r>
            <w:r w:rsidRPr="0099581F">
              <w:rPr>
                <w:rFonts w:ascii="GHEA Grapalat" w:hAnsi="GHEA Grapalat"/>
                <w:b/>
                <w:sz w:val="14"/>
                <w:szCs w:val="18"/>
                <w:lang w:val="es-ES"/>
              </w:rPr>
              <w:t>«</w:t>
            </w:r>
            <w:r w:rsidRPr="0099581F">
              <w:rPr>
                <w:rFonts w:ascii="GHEA Grapalat" w:hAnsi="GHEA Grapalat"/>
                <w:b/>
                <w:sz w:val="14"/>
                <w:szCs w:val="18"/>
              </w:rPr>
              <w:t>Դեղորայքի</w:t>
            </w:r>
            <w:r w:rsidRPr="0099581F">
              <w:rPr>
                <w:rFonts w:ascii="GHEA Grapalat" w:hAnsi="GHEA Grapalat"/>
                <w:b/>
                <w:sz w:val="14"/>
                <w:szCs w:val="18"/>
                <w:lang w:val="es-ES"/>
              </w:rPr>
              <w:t>»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  ձեռքբերման նպատակով կազմակերպված «ՀՀՊՆՆՏԱԴ-ԳՀԱՊՁԲ-9/1» ծածկագրով ընթացակարգի 24-րդ չափաբաժնի մասով </w:t>
            </w:r>
            <w:r w:rsidRPr="0099581F">
              <w:rPr>
                <w:rFonts w:ascii="GHEA Grapalat" w:hAnsi="GHEA Grapalat"/>
                <w:sz w:val="14"/>
                <w:szCs w:val="20"/>
                <w:lang w:val="es-ES"/>
              </w:rPr>
              <w:t xml:space="preserve">«Հերմինե Ֆարմեց»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ՍՊԸ-ի առաջարկված գինը գերազանցում է 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  05.12.2017թ. ժամը 14:45-ին ՀՀ ՊՆ ՆՏԱԴ ԳՓՁ վարչության նիստերի դահլիճում  (ք. Երևան, Բագրևանդի 5) անցկացել բանակցություններ: Բանակցությանը ներկայացավ </w:t>
            </w:r>
            <w:r w:rsidRPr="0099581F">
              <w:rPr>
                <w:rFonts w:ascii="GHEA Grapalat" w:hAnsi="GHEA Grapalat"/>
                <w:sz w:val="14"/>
                <w:szCs w:val="20"/>
                <w:lang w:val="es-ES"/>
              </w:rPr>
              <w:t xml:space="preserve">«Հերմինե Ֆարմեց»    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>ՍՊԸ -ի ներկայացուցիչը, որը էլ համաձայնվեց 24-րդ չափաբաժնի մասով առաջարկված ընդամենը գինը ԱԱՀ-ով 5,939,400, առանց ԱԱՀ 4,949,500 բանակցության արդյունքում նվազեցնել` սահմանելով ԱԱՀ-ով 5,790,000, առանց ԱԱՀ 4,825,000դրամի:</w:t>
            </w:r>
          </w:p>
        </w:tc>
      </w:tr>
      <w:tr w:rsidR="004D30C9" w:rsidRPr="00482715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5" w:type="pct"/>
            <w:gridSpan w:val="2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39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17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570493" w:rsidRPr="003148DE" w:rsidTr="000B588C">
        <w:trPr>
          <w:trHeight w:val="453"/>
          <w:jc w:val="center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1435CE" w:rsidRDefault="00570493" w:rsidP="006660D5">
            <w:pPr>
              <w:pStyle w:val="ListParagraph"/>
              <w:numPr>
                <w:ilvl w:val="0"/>
                <w:numId w:val="23"/>
              </w:numPr>
              <w:tabs>
                <w:tab w:val="left" w:pos="1134"/>
              </w:tabs>
              <w:ind w:left="0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  <w:t>«Ռիխտեր-լամբրոն» ՀՁ ՍՊԸ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-ի կողմից ներկայացված լիազորագրում բացակայում է լիազորված անձ Արմինե Ղուկասյանի կողմից գլխավոր տնօրենի փոխարեն փաստաթղթերը էլեկտրոնային թվային ստորագրությամբ հաստատելու փաստը: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անհամապատասխանությունները:Մասնակցի կողմից սահմանված ժամկետում ներկայացվեց նոր լիազորագիր, որում սակայն սխալ էր նշված ընթացակարգի ծածկագիրը և հիմք ընդունելով նշված հանգամանքը`  հանձնաժողովը, 05.12.2017թ. կայացրած նիստում, որոշեց ` «Ռիխտեր-լամբրոն» ՀՁ ՍՊԸ-ի հայտը գնահատել հրավերի պահանջներին ոչ համապատասխան  և  մերժել:</w:t>
            </w:r>
          </w:p>
          <w:p w:rsidR="00570493" w:rsidRPr="000B588C" w:rsidRDefault="00570493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2"/>
                <w:szCs w:val="12"/>
                <w:lang w:val="es-ES"/>
              </w:rPr>
            </w:pPr>
          </w:p>
        </w:tc>
      </w:tr>
      <w:tr w:rsidR="006660D5" w:rsidRPr="00DB4BD6" w:rsidTr="000B588C">
        <w:trPr>
          <w:trHeight w:val="508"/>
          <w:jc w:val="center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D541CF" w:rsidRDefault="006660D5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1435CE" w:rsidRDefault="006660D5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 </w:t>
            </w:r>
            <w:r w:rsidR="001435CE"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«Վագա Ֆարմ» ՍՊԸ-ի կողմից 1-ին, 4-րդ, և 6-րդ չափաբաժինների մասով ներկայացված փաստաթղթերում առկա էր անհամապատասխանություններ և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անհամապատասխանությունները, ինչն էլ հիմք ընդունելով գնահատող հանձնաժողովը որոշեց մերժել վերջինիս հայտը:</w:t>
            </w:r>
          </w:p>
          <w:p w:rsidR="006660D5" w:rsidRPr="001435CE" w:rsidRDefault="006660D5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20-րդ չափաբաժնի մասով </w:t>
            </w:r>
            <w:r w:rsidRPr="001435CE"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  <w:t>«Թեոֆարմա» ՍՊԸ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-ի կողմից ներկայացված փաստաթղթերի գնահատման արդյունքում հանձնաժողովը արձանագրեց, որ ներկայացված տեխնիկական բնութագիրը չէր համապատասխանում ընթացակարգի հրավերով սահմված տեխնիկական բնութագրին, և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առկա անհամապատասխանությունները, ինչն էլ հիմք ընդունելով գնահատող հանձնաժողովը որոշեց մերժեել վերջինիս հայտը:</w:t>
            </w:r>
          </w:p>
        </w:tc>
      </w:tr>
      <w:tr w:rsidR="00570493" w:rsidRPr="00DB4BD6" w:rsidTr="000B588C">
        <w:trPr>
          <w:trHeight w:val="1194"/>
          <w:jc w:val="center"/>
        </w:trPr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6660D5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es-ES"/>
              </w:rPr>
            </w:pP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1435CE" w:rsidRDefault="00570493" w:rsidP="006660D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eastAsia="Times New Roman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ՀՀ կառավարությանն առընթեր պետական եկամուտների կոմիտեից ներկայացված համապատասխան եզրակացության գնահատման արդյունքում հանձնաժողովն արձանագրեց,</w:t>
            </w:r>
            <w:r w:rsidR="006660D5"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 </w:t>
            </w:r>
            <w:r w:rsidR="006660D5" w:rsidRPr="000B588C">
              <w:rPr>
                <w:rFonts w:ascii="GHEA Grapalat" w:eastAsia="Times New Roman" w:hAnsi="GHEA Grapalat" w:cs="Sylfaen"/>
                <w:b/>
                <w:sz w:val="14"/>
                <w:szCs w:val="12"/>
                <w:lang w:val="es-ES"/>
              </w:rPr>
              <w:t>«ՆՕԿԱ» ՍՊԸ-ի</w:t>
            </w:r>
            <w:r w:rsidR="006660D5" w:rsidRPr="001435CE">
              <w:rPr>
                <w:rFonts w:ascii="GHEA Grapalat" w:eastAsia="Times New Roman" w:hAnsi="GHEA Grapalat" w:cs="Sylfaen"/>
                <w:sz w:val="14"/>
                <w:szCs w:val="12"/>
                <w:lang w:val="es-ES"/>
              </w:rPr>
              <w:t xml:space="preserve"> տվյալները չեն համապատասխանում հրավերով նախատեսված «Ֆինանսական միջոցների առկայություն» որակավորման չափորոշիչին, մասնավորապես,  մասնակցի երեք հաշվետու տարիների համախառն եկամտի հանրագումարը կազմում է 0 դրամ, այնինչ չպետք է պակաս լիներ ընթացակարգի շրջանակում ներկայացրած գնային առաջարկից, բացի այդ, հաշվետու տարվա ընթացքում պարտավորությունների հաշվեկշռային արժեքը (6,149,213 դրամ) գերազանցում է ակտիվների հաշվեկշռային արժեքը (3,699,688 դրամ):</w:t>
            </w:r>
          </w:p>
          <w:p w:rsidR="00570493" w:rsidRPr="001435CE" w:rsidRDefault="00570493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: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առկա անհամապատասխանությունները, ինչն էլ հիմք ընդունելով գնահատող հանձնաժողովը որոշեց մերժեել վերջինիս հայտը:</w:t>
            </w:r>
          </w:p>
        </w:tc>
      </w:tr>
      <w:tr w:rsidR="00570493" w:rsidRPr="00DB4BD6" w:rsidTr="000B588C">
        <w:trPr>
          <w:trHeight w:val="20"/>
          <w:jc w:val="center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70493" w:rsidRPr="003148DE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es-ES"/>
              </w:rPr>
            </w:pP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82715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26.02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vMerge w:val="restart"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570493" w:rsidRPr="00D541CF" w:rsidRDefault="00570493" w:rsidP="00482715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` 28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570493" w:rsidRPr="00D541CF" w:rsidRDefault="00570493" w:rsidP="009F1793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`  04.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vMerge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570493" w:rsidRPr="00D32DE1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D541CF" w:rsidRDefault="00570493" w:rsidP="009F17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03.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D32DE1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763C56" w:rsidRDefault="00570493" w:rsidP="009F17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17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03.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763C56" w:rsidRDefault="00D55F8E" w:rsidP="003A22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 </w:t>
            </w:r>
            <w:r w:rsidR="003A226B">
              <w:rPr>
                <w:rFonts w:ascii="GHEA Grapalat" w:hAnsi="GHEA Grapalat"/>
                <w:b/>
                <w:sz w:val="12"/>
                <w:szCs w:val="10"/>
              </w:rPr>
              <w:t>20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.03.</w:t>
            </w:r>
            <w:r w:rsidR="00570493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70493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763C56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5" w:type="pct"/>
            <w:gridSpan w:val="24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5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5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F003C2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.03</w:t>
            </w:r>
            <w:r w:rsidR="00570493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570493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570493" w:rsidRPr="0028471B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 xml:space="preserve">Կսահմանվի </w:t>
            </w: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lastRenderedPageBreak/>
              <w:t>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lastRenderedPageBreak/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F003C2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6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071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520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14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5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400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111F51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17,21,22,27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0728E0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begin"/>
            </w:r>
            <w:r w:rsidR="00570493" w:rsidRPr="00C16C0C">
              <w:rPr>
                <w:rFonts w:ascii="GHEA Grapalat" w:hAnsi="GHEA Grapalat"/>
                <w:b/>
                <w:i/>
                <w:sz w:val="18"/>
                <w:szCs w:val="18"/>
              </w:rPr>
              <w:instrText xml:space="preserve"> =SUM(ABOVE) </w:instrTex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separate"/>
            </w:r>
            <w:r w:rsidR="00570493" w:rsidRPr="00C16C0C">
              <w:rPr>
                <w:rFonts w:ascii="GHEA Grapalat" w:hAnsi="GHEA Grapalat"/>
                <w:b/>
                <w:i/>
                <w:noProof/>
                <w:sz w:val="18"/>
                <w:szCs w:val="18"/>
              </w:rPr>
              <w:t>20,053,900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8,220,000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4,7,9,13,18,24,25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F003C2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43,891,000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3,5,6,8,10,12,16,26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0728E0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begin"/>
            </w:r>
            <w:r w:rsidR="00570493" w:rsidRPr="00C16C0C">
              <w:rPr>
                <w:rFonts w:ascii="GHEA Grapalat" w:hAnsi="GHEA Grapalat"/>
                <w:b/>
                <w:i/>
                <w:sz w:val="18"/>
                <w:szCs w:val="18"/>
              </w:rPr>
              <w:instrText xml:space="preserve"> =SUM(ABOVE) </w:instrTex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separate"/>
            </w:r>
            <w:r w:rsidR="00570493" w:rsidRPr="00C16C0C">
              <w:rPr>
                <w:rFonts w:ascii="GHEA Grapalat" w:hAnsi="GHEA Grapalat"/>
                <w:b/>
                <w:i/>
                <w:noProof/>
                <w:sz w:val="18"/>
                <w:szCs w:val="18"/>
              </w:rPr>
              <w:t>44,147,034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«Վագա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1E78D1" w:rsidRDefault="001E78D1" w:rsidP="00DB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1E78D1">
              <w:rPr>
                <w:rFonts w:ascii="GHEA Grapalat" w:hAnsi="GHEA Grapalat" w:cs="Sylfaen"/>
                <w:b/>
                <w:i/>
                <w:sz w:val="18"/>
                <w:szCs w:val="18"/>
              </w:rPr>
              <w:t>9,</w:t>
            </w:r>
            <w:r w:rsidR="00DB4BD6">
              <w:rPr>
                <w:rFonts w:ascii="GHEA Grapalat" w:hAnsi="GHEA Grapalat" w:cs="Sylfaen"/>
                <w:b/>
                <w:i/>
                <w:sz w:val="18"/>
                <w:szCs w:val="18"/>
              </w:rPr>
              <w:t>6</w:t>
            </w:r>
            <w:r w:rsidRPr="001E78D1">
              <w:rPr>
                <w:rFonts w:ascii="GHEA Grapalat" w:hAnsi="GHEA Grapalat" w:cs="Sylfaen"/>
                <w:b/>
                <w:i/>
                <w:sz w:val="18"/>
                <w:szCs w:val="18"/>
              </w:rPr>
              <w:t>00,000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19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«Վարդալ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7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564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8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00</w:t>
            </w:r>
          </w:p>
        </w:tc>
      </w:tr>
      <w:tr w:rsidR="00570493" w:rsidRPr="00B92E4B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570493" w:rsidRPr="00B92E4B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570493" w:rsidRPr="00763C56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570493" w:rsidRPr="00763C56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8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Աբովյան 2-րդ մ/շրջ., 19 շ.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«Արդշին  բանկ» Աբովյան մ/ճ</w:t>
            </w:r>
          </w:p>
          <w:p w:rsidR="00570493" w:rsidRPr="00223C1B" w:rsidRDefault="00570493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2471000494250010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03519299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111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163008100220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02505735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111F51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17,21,22,27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Ամիրյան 18 1ա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163008159960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02563667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3701B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4,7,9,13,18,24,25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570493" w:rsidRPr="00DD0A8E" w:rsidTr="000B588C">
        <w:trPr>
          <w:trHeight w:val="343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3,5,6,8,10,12,16,26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81168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811681" w:rsidRDefault="00E202BD" w:rsidP="00E202BD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 xml:space="preserve">        </w:t>
            </w:r>
            <w:r w:rsidR="00570493"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43F9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84469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Ֆիզկուլտուրնիկների 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B43F9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16300815216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01536316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19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D20B18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Վարդալ ֆարմ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Հերացի 2ա, 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BB0244" w:rsidRDefault="00570493" w:rsidP="00570493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1570013640230100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CF61EE" w:rsidRDefault="00570493" w:rsidP="00E202BD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ՀՎՀՀ01570878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DD0A8E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570493" w:rsidRPr="00DB4BD6" w:rsidTr="000B588C">
        <w:trPr>
          <w:trHeight w:val="522"/>
          <w:jc w:val="center"/>
        </w:trPr>
        <w:tc>
          <w:tcPr>
            <w:tcW w:w="1355" w:type="pct"/>
            <w:gridSpan w:val="7"/>
            <w:shd w:val="clear" w:color="auto" w:fill="auto"/>
            <w:vAlign w:val="center"/>
          </w:tcPr>
          <w:p w:rsidR="00570493" w:rsidRPr="009C2291" w:rsidRDefault="00570493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5" w:type="pct"/>
            <w:gridSpan w:val="24"/>
            <w:shd w:val="clear" w:color="auto" w:fill="auto"/>
            <w:vAlign w:val="center"/>
          </w:tcPr>
          <w:p w:rsidR="00570493" w:rsidRPr="00ED14E8" w:rsidRDefault="00570493" w:rsidP="00ED14E8">
            <w:pPr>
              <w:spacing w:after="0" w:line="240" w:lineRule="auto"/>
              <w:rPr>
                <w:rFonts w:ascii="GHEA Grapalat" w:hAnsi="GHEA Grapalat"/>
                <w:sz w:val="16"/>
                <w:szCs w:val="10"/>
                <w:lang w:val="hy-AM"/>
              </w:rPr>
            </w:pPr>
            <w:r>
              <w:rPr>
                <w:rFonts w:ascii="GHEA Grapalat" w:hAnsi="GHEA Grapalat"/>
                <w:sz w:val="16"/>
                <w:szCs w:val="10"/>
                <w:lang w:val="hy-AM"/>
              </w:rPr>
              <w:t xml:space="preserve"> 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2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 xml:space="preserve">-րդ,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15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 xml:space="preserve">-րդ և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23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>-րդ չափաբաժինների մասով ընթացակարգը հայտարարվել է չկայացած հիմք ընդունելով «Գնումների մասին» ՀՀ օրենքի 37-րդ հոդվածի 1-ին մասի 3-րդ կետը` ( ոչ մի հայտ չի ներկայացվել</w:t>
            </w:r>
            <w:r w:rsidRPr="00ED14E8">
              <w:rPr>
                <w:rFonts w:ascii="GHEA Grapalat" w:hAnsi="GHEA Grapalat"/>
                <w:sz w:val="16"/>
                <w:szCs w:val="10"/>
                <w:lang w:val="hy-AM"/>
              </w:rPr>
              <w:t>:</w:t>
            </w:r>
          </w:p>
        </w:tc>
      </w:tr>
      <w:tr w:rsidR="00570493" w:rsidRPr="00DB4BD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570493" w:rsidRPr="00DB4BD6" w:rsidTr="000B588C">
        <w:trPr>
          <w:trHeight w:val="20"/>
          <w:jc w:val="center"/>
        </w:trPr>
        <w:tc>
          <w:tcPr>
            <w:tcW w:w="2396" w:type="pct"/>
            <w:gridSpan w:val="15"/>
            <w:shd w:val="clear" w:color="auto" w:fill="auto"/>
          </w:tcPr>
          <w:p w:rsidR="00570493" w:rsidRPr="009C2291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570493" w:rsidRPr="009C2291" w:rsidRDefault="00570493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570493" w:rsidRPr="00DB4BD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570493" w:rsidRPr="00DB4BD6" w:rsidTr="00734509">
        <w:trPr>
          <w:trHeight w:val="20"/>
          <w:jc w:val="center"/>
        </w:trPr>
        <w:tc>
          <w:tcPr>
            <w:tcW w:w="1839" w:type="pct"/>
            <w:gridSpan w:val="11"/>
            <w:shd w:val="clear" w:color="auto" w:fill="auto"/>
            <w:vAlign w:val="center"/>
          </w:tcPr>
          <w:p w:rsidR="00570493" w:rsidRPr="009C2291" w:rsidRDefault="00570493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3161" w:type="pct"/>
            <w:gridSpan w:val="20"/>
            <w:shd w:val="clear" w:color="auto" w:fill="auto"/>
            <w:vAlign w:val="center"/>
          </w:tcPr>
          <w:p w:rsidR="00570493" w:rsidRPr="00734509" w:rsidRDefault="00A66885" w:rsidP="00B73A83">
            <w:pPr>
              <w:pStyle w:val="BodyText"/>
              <w:spacing w:line="276" w:lineRule="auto"/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</w:pPr>
            <w:r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70493" w:rsidRPr="00DB4BD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66885" w:rsidRPr="00DB4BD6" w:rsidTr="00A66885">
        <w:trPr>
          <w:trHeight w:val="20"/>
          <w:jc w:val="center"/>
        </w:trPr>
        <w:tc>
          <w:tcPr>
            <w:tcW w:w="1667" w:type="pct"/>
            <w:gridSpan w:val="10"/>
            <w:shd w:val="clear" w:color="auto" w:fill="auto"/>
            <w:vAlign w:val="center"/>
          </w:tcPr>
          <w:p w:rsidR="00A66885" w:rsidRPr="006F4CF8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3333" w:type="pct"/>
            <w:gridSpan w:val="21"/>
            <w:shd w:val="clear" w:color="auto" w:fill="auto"/>
            <w:vAlign w:val="center"/>
          </w:tcPr>
          <w:p w:rsidR="00A66885" w:rsidRPr="00734509" w:rsidRDefault="00A66885" w:rsidP="00523E53">
            <w:pPr>
              <w:pStyle w:val="BodyText"/>
              <w:spacing w:line="276" w:lineRule="auto"/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</w:pPr>
            <w:r w:rsidRPr="00734509"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  <w:t xml:space="preserve">Ընդունել ի գիտություն, որ «Վագա Ֆարմ» և «Թեոֆարմա» ՍՊԸ-ների  կողմից սույն ընթացակարգի վերաբերյալ ներկայացված բողոքները ՀՀ գնումների բողոքարկման խորհրդի 26.01.18թ ԳԲԽ-ԱՄ-2018/01 և ԳԲԽ-ԱՄ-2018/02 որոշումներով մերժվել են: </w:t>
            </w:r>
          </w:p>
        </w:tc>
      </w:tr>
      <w:tr w:rsidR="00A66885" w:rsidRPr="00DB4BD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A66885" w:rsidRPr="00B61C15" w:rsidRDefault="00A6688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A66885" w:rsidRPr="00115807" w:rsidTr="003A226B">
        <w:trPr>
          <w:trHeight w:val="804"/>
          <w:jc w:val="center"/>
        </w:trPr>
        <w:tc>
          <w:tcPr>
            <w:tcW w:w="1355" w:type="pct"/>
            <w:gridSpan w:val="7"/>
            <w:shd w:val="clear" w:color="auto" w:fill="auto"/>
            <w:vAlign w:val="center"/>
          </w:tcPr>
          <w:p w:rsidR="00A66885" w:rsidRPr="00527BC2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5" w:type="pct"/>
            <w:gridSpan w:val="24"/>
            <w:shd w:val="clear" w:color="auto" w:fill="auto"/>
            <w:vAlign w:val="center"/>
          </w:tcPr>
          <w:p w:rsidR="00A66885" w:rsidRPr="00844691" w:rsidRDefault="00A66885" w:rsidP="00ED14E8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8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 xml:space="preserve">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Հաշվի առնելով այն հանգամանքը, որ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21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</w:t>
            </w:r>
            <w:r w:rsidRPr="00ED14E8">
              <w:rPr>
                <w:rFonts w:ascii="GHEA Grapalat" w:hAnsi="GHEA Grapalat"/>
                <w:bCs/>
                <w:sz w:val="14"/>
                <w:szCs w:val="8"/>
              </w:rPr>
              <w:t>«Եվրոֆարմ»  ՍՊԸ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A66885" w:rsidRPr="009C2291" w:rsidRDefault="00A6688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5000" w:type="pct"/>
        <w:tblLayout w:type="fixed"/>
        <w:tblLook w:val="04A0"/>
      </w:tblPr>
      <w:tblGrid>
        <w:gridCol w:w="557"/>
        <w:gridCol w:w="3191"/>
        <w:gridCol w:w="3141"/>
        <w:gridCol w:w="2452"/>
        <w:gridCol w:w="2199"/>
        <w:gridCol w:w="1796"/>
        <w:gridCol w:w="132"/>
        <w:gridCol w:w="1381"/>
        <w:gridCol w:w="112"/>
        <w:gridCol w:w="1520"/>
      </w:tblGrid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Հ/Հ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Sylfaen"/>
                <w:b/>
                <w:color w:val="000000"/>
                <w:sz w:val="15"/>
                <w:szCs w:val="15"/>
              </w:rPr>
              <w:t>Ապրանքի CPV անվանում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Դեղաձևը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Դեղաչափը և թողարկման ձևը (փաթեթավորումը)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ԱՊՐԱՆՔԱՅԻՆ ՆՇԱՆԸ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ԱՐՏԱԴՐՈՂԻ ԱՆՎԱՆՈՒՄԸ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ԾԱԳՄԱՆ ԵՐԿԻՐԸ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Վիտամիններ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Ասկորբինաթթու, ascorbic acid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500մգ; (20) պլաստիկե տարայում  բլիստերում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Վիտամին C 500մգ N20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«Արփիմեդ»  ՍՊԸ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1A12E0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>
              <w:rPr>
                <w:rFonts w:ascii="GHEA Grapalat" w:hAnsi="GHEA Grapalat"/>
                <w:color w:val="000000"/>
                <w:sz w:val="16"/>
                <w:szCs w:val="15"/>
              </w:rPr>
              <w:t>ՀՀ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Վիտամին /A, վիտամին Bl, վիտամին B2, վիտամին C vitamin A, vitamin Bl, vitamin B2, vitamin C/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Էնօքսապարին b01ab05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Էնoքսապարին (էնoքսապարինի նատրիումական աղ)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40մգ/0,4մլ, 0,4մլ նախալցված ներարկիչներ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Կլեքսան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Սանոֆի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Ֆրանսիա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Պովիդոն յոդ d08ag02, d09aa09, d11ac06, g01ax11, r02aa15, s01ax18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Պովիդոն յոդ, povidone-iodine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100մգ/մլ, ,1000մլ պլաստիկե շշիկ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Բետադինա</w:t>
            </w:r>
          </w:p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Բետադինոկ</w:t>
            </w:r>
          </w:p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Բետայոդին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ՆՕԿԱ ՍՊԸ</w:t>
            </w:r>
          </w:p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ՆՕԿԻ ՍՊԸ</w:t>
            </w:r>
          </w:p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Արփիմեդ ՍՊԸ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Հայաստան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Կետոպրոֆեն m01ae03, m02aa10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Կետոպրոֆեն, ketoprofen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100մգ/2մլ, 2մլ ամպուլներ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Կետոնալ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Սանդոզ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Սլովենիա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 j01ca01, s01aa19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 (ամպիցիլինի նատրիում), ampicillin (ampicillin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սրվակներ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Կիևմեդ-պրեպարատ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Ուկրաինա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Ամօքսիցիլին j01ca04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Ամօքսիցիլին, amoxicillin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Դեղապատիճներ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 (100/10x10/)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Ամօքսիցիլին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Ռուսան Ֆարմա ԼՍԴ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Ամօքսիցիլին+քլավու</w:t>
            </w: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softHyphen/>
              <w:t>լանաթթու j01cr02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 (ամօքսիցիլինի տրիհիդրատ), քլավուլանաթթու (կալիումի քլավուլանատ), amoxicillin (amoxicillin trihydrate), clavulanic acid (potassium clavulanate)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 թաղանթապատ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875մգ+125մգ, բլիստերում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Ամոքսիկլավ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Լեկ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Սլովենիա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Բենզիլպենիցիլինի աղեր j01ce01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Բենզիլպենիցիլինի նատրիում, benzylpenicillin sodium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1000000ՄՄ, ապակե սրվակ (1)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Պենիցիլլին-ԳՌՍ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Ռեյոնգ Ֆարմասյութիքալս ԼՏԴ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Չինաստան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Ցեֆազոլին j01db04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Ցեֆազոլին (ցեֆազոլինի նատրիումական աղ) cefazolin (cefazolin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մ/մ և ն/ե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 ապակե սրվակներ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Ցեֆազոլին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Բորսովի դեղերի գործարան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Ցեֆտրիաքսոն j01dd04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Ցեֆտրիաքսոն, ceftriaxone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1գ, սրվակ (1,10)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Ցեֆտրիաքսոն 1գ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Ռեյոնգ Ֆարմասյութիքլ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Չինաստան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Իմիպենեմ+ ցիլաստատին j01dh51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Իմիպենեմ, ցիլաստատինի նատրիում , imipenem, cilastatin sodium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ն/ե կաթիլաներարկման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500մգ+500մգ, սրվակ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Ցիլապենեմ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Բելմեդ-պրեպարատի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Ցեֆտազիդիմ j01dd02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Ցեֆտազիդիմ (ցեֆտազիդիմի պենտահիդրատ) ceftazidime (ceftazidime pentahydrate)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ներարկման/ կաթիլաներարկման լուծույթի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 (1)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ՖորՏՐՐՈՆՆ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Պրոտեք Բիոսիսթեմս ՊՎՍ ԼՏԴ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Ազիթրոմիցին j01fa10, s01aa26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Ազիթրոմիցին, azithromycin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Դեղապատիճներ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 (3)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«Աստրաֆարմ»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Ուկրաինա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 j01fa10, s01aa26 /Ազիթրոմիցին (ազիթրոմիցին դիհիդրատ) azithromycin (azithromycin dihydrate)/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lastRenderedPageBreak/>
              <w:t>16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Ցիպրոֆլօքսացին j01ma02, s01ae03, s02aa15, s03aa07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Ցիպրոֆլօքսացինի հիդրոքլորիդ, ciprofloxacin hydrochloride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 թաղանթապատ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500մգ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Ցիպրոֆլոքսացին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Բորսովի դեղերի գործարան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Մոքսիֆլօքսացին j01ma14, s01ae07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Մօքսիֆլօքսացին (մօքսիֆլօքսացինի հիդրոքլորիդ), նատրիումի քլորիդ moxifloxacin (moxifloxacin hydrochloride), sodium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1.6մգ/մլ+8մգ/մլ, 250մլ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Մօքսիֆլօքսացին (մօքսիֆլօքսացինի հիդրոքլորիդ), նատրիումի քլորիդ /Մոքսի-Տեք/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Մերոպենեմ j01dh02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Մերոպենեմ (մերոպենեմի տրիհիդրատ) meropenem (meropenem trihydrate)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ն/ե ներարկման/ կաթիլաներարկման 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500մգ, ապակե սրվակներ (1)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ՌոպենՏՐՈՆՆ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Պրոտեք Բիոսիսթեմս ՊՎՍ ԼՏԴ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Հակաթունային շիճուկ (օձի) j06aa03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Օձի պոլիվալենտ սիճուկ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Պոլիվալենտ 5,6մլ սրվակ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N1 փաթեթավորումով տուփ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Ուզբիոֆարմ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Ուզբիոֆարմ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Ուզբեկստան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Իզոֆլուրան n01ab06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Իզոֆլուրան isoflurane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Հեղուկ շնչառման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100%, 100մլ ապակե շշիկ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Անեսթերան 99.9% 100մլ շիշ  N1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Ռոմֆարմ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Ռումինիա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21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քլորիդ, կալիումի քլորիդ, կալցիումի քլորիդ (ռինգերի լուծույթ)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քլորիդ, կալիումի քլորիդ, կալցիումի քլորիդ, sodium chloride, potassium chloride, calcium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8,6մգ/մլ+0,3մգ/մլ+0,33մգ/մլ, 500մլ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քլորիդ, կալիումի քլորիդ, կալցիումի քլորիդ (ռինգերի լուծույթ)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 a12ca01, b05cb01, b05xa03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քլորիդ, sodium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9մգ/մլ, 500մլ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Ացետիլցիստեին r05cb01, v03ab23, s01xa08 /Ացետիլցիստեին, acetylcysteine/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24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Այլ դեղորայք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լիոֆիլացված, կաթիլաներարկման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4000մգ+500մգ, ապակե սրվակ (1)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ՏազՊիՏՐՈՆՆ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Սանջիվանի Պարանտերալ Լիմիթեդ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Այլ դեղորայք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Ցեֆոպերազոն, սուլբակտամ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1000մգ+1000մգ; (1) ապակե սրվակ 2000մգ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Ցեֆրոբակտում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Սանջիվանի Պարանտերալ Լիմիթեդ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 Ալբումին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Մարդու ալբումին, human albumin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100մգ/մլ, 100մլ ապակե շշիկ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Ալբումին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Բիոֆարմա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Ուկրաինա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Նադրոպարինի կալցիումական աղ- b01ab06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Նադրոպարին կալցիում nadroparin calcium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5700ՄՄ AXa/0,6մլ, 0,6մլ նախալցված ներարկիչներ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Նադրոպարինիկալցումա -կան աղ-/Ֆրաքսիպարին/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ԱՍՊԵՆ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Ֆրանսիա</w:t>
            </w:r>
          </w:p>
        </w:tc>
      </w:tr>
    </w:tbl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A12E0" w:rsidRDefault="001A12E0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A12E0" w:rsidRDefault="001A12E0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Pr="00966377" w:rsidRDefault="00966377" w:rsidP="00966377">
      <w:pPr>
        <w:jc w:val="center"/>
        <w:rPr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8"/>
        <w:gridCol w:w="2442"/>
        <w:gridCol w:w="4236"/>
        <w:gridCol w:w="2475"/>
        <w:gridCol w:w="3009"/>
        <w:gridCol w:w="1467"/>
        <w:gridCol w:w="1322"/>
        <w:gridCol w:w="982"/>
      </w:tblGrid>
      <w:tr w:rsidR="00AA34F9" w:rsidRPr="00AA34F9" w:rsidTr="00AA34F9">
        <w:trPr>
          <w:trHeight w:val="20"/>
          <w:jc w:val="center"/>
        </w:trPr>
        <w:tc>
          <w:tcPr>
            <w:tcW w:w="166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741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1664" w:type="pct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445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 xml:space="preserve">ԱՊՐԱՆՔԱՅԻՆ 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ՆՇԱՆԸ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ԱՐՏԱԴՐՈՂԻ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ԱՆՎԱՆՈՒՄԸ</w:t>
            </w:r>
          </w:p>
        </w:tc>
        <w:tc>
          <w:tcPr>
            <w:tcW w:w="298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 xml:space="preserve">ԾԱԳՄԱՆ 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ԵՐԿԻՐԸ</w:t>
            </w: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2192" w:type="pct"/>
            <w:gridSpan w:val="3"/>
            <w:tcBorders>
              <w:right w:val="single" w:sz="4" w:space="0" w:color="auto"/>
            </w:tcBorders>
            <w:vAlign w:val="center"/>
          </w:tcPr>
          <w:p w:rsidR="00AA34F9" w:rsidRPr="00AA34F9" w:rsidRDefault="00AA34F9" w:rsidP="00570493">
            <w:pPr>
              <w:pStyle w:val="ListParagraph"/>
              <w:ind w:left="12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Դեղաձևը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Դեղաչափը և թողարկման ձևը (փաթեթավորումը)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Վիտամիններ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Ասկորբինաթթու, ascorbic acid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Դեղապատիճներ, դեղահատեր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500մգ; (20) պլաստիկե տարայում և (20/2x10/) բլիստերում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Վիտամիններ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Վիտամին A, վիտամին Bl, վիտամին B2, վիտամին C vitamin A, vitamin Bl, vitamin B2, vitamin C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Դրաժե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1.38մգ(2500ՄՄ)+ 1մգ+1մգ+35մգ, պոլիմերային տարայում (100)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Էնօքսապարին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b01ab0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Էնoքսապարին (էնoքսապարինի նատրիումական աղ)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40մգ/0,4մլ, 0,4մլ նախալցված ներարկիչներ (10/2x5/)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Պովիդոն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յոդ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d08ag02, d09aa09, d11ac06, g01ax11, r02aa15, s01ax1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8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Պովիդոն յոդ, povidone-iodine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100մգ/մլ, ,1000մլ պլաստիկե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Կետոպրոֆեն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m01ae03, m02aa1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Կետոպրոֆեն, ketoprofen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100մգ/2մլ, 2մլ ամպուլներ (10/2x5/)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Ամպիցիլին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j01ca01, s01aa1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9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Ամպիցիլին (ամպիցիլինի նատրիում), ampicillin (ampicillin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սրվակներ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7.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Ամօքսիցիլին, amoxicillin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(100/10x10/)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8.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+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քլավու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softHyphen/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լանաթթու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j01cr0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տրիհիդրատ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),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քլավուլանաթթու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քլավուլանատ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), amoxicillin (amoxicillin trihydrate), clavulanic acid (potassium clavulanate)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Դեղահատեր թաղանթապատ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875մգ+125մգ, բլիստերում (10/2x5/ և 14/2x7/)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9.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Բենզիլպենիցիլինի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աղեր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j01ce0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Բենզիլպենիցիլինի նատրիում, benzylpenicillin sodium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1000000ՄՄ,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10.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Ցեֆազոլին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Ցեֆազոլին (ցեֆազոլինի նատրիումական աղ) cefazolin (cefazolin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մ/մ և ն/ե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 (1), ապակե սրվակներ (5,10,50)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Ցեֆտրիաքսոն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j01dd0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Ցեֆտրիաքսոն, ceftriaxone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1գ, սրվակ (1,10)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Իմիպենեմ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+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ցիլաստատին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j01dh5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Իմիպենեմ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ցիլաստատինի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, imipenem, cilastatin sodium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/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ե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կաթիլաներարկման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500մգ+500մգ, սրվակ (5,10)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Ցեֆտազիդիմ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j01dd0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Ցեֆտազիդիմ (ցեֆտազիդիմի պենտահիդրատ) ceftazidime (ceftazidime pentahydrate)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ներարկման/ կաթիլաներարկման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Ազիթրոմիցին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j01fa10, s01aa2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Ազիթրոմիցին, azithromycin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(3)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Ազիթրոմիցին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j01fa10, s01aa2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Ազիթրոմիցին (ազիթրոմիցին դիհիդրատ) azithromycin (azithromycin dihydrate)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կաթիլաներարկ- 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Ցիպրոֆլօքսացին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j01ma02, 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lastRenderedPageBreak/>
              <w:t>s01ae03, s02aa15, s03aa0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7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 xml:space="preserve">Ցիպրոֆլօքսացինի հիդրոքլորիդ, ciprofloxacin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hydrochloride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Դեղահատեր թաղանթապատ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lastRenderedPageBreak/>
              <w:t>17.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Մոքսիֆլօքսացին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j01ma14, s01ae0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7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Մօքսիֆլօքսացին (մօքսիֆլօքսացինի հիդրոքլորիդ), նատրիումի քլորիդ moxifloxacin (moxifloxacin hydrochloride), sodium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1.6մգ/մլ+8մգ/մլ, 250մլ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18.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Մերոպենեմ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j01dh0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Մերոպենեմ (մերոպենեմի տրիհիդրատ) meropenem (meropenem trihydrate)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ն/ե ներարկման/ կաթիլաներարկման 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500մգ, ապակե սրվակներ (1, 5, 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19.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Հակաթունային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շիճուկ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(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օձի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) j06aa0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3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Օձի պոլիվալենտ սիճուկ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Պոլիվալենտ 5,6մլ սրվակ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N1 փաթեթավորումով տուփ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20.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Իզոֆլուրան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n01ab0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Իզոֆլուրան isoflurane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Հեղուկ շնչառման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100%, 100մլ ապակե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կալցիումի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ռինգերի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լուծույթ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)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կալցիումի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, sodium chloride, potassium chloride, calcium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8,6մգ/մլ+0,3մգ/մլ+0,33մգ/մլ, 500մլ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a12ca01, b05cb01, b05xa0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3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Նատրիումի քլորիդ, sodium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9մգ/մլ, 500մլ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Ացետիլցիստեին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r05cb01, v03ab23, s01xa0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Ացետիլցիստեին, acetylcysteine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Դեղահատեր դյուրալույծ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200մգ, պլաստիկե տարայում (20)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Այլ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դեղորայք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լիոֆիլացված, կաթիլաներարկման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4000մգ+500մգ,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Այլ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դեղորայք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Ցեֆոպերազոն, սուլբակտամ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լուծույթի,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1000մգ+1000մգ; (1) ապակե սրվակ 2000մգ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Ալբումին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Մարդու ալբումին, human albumin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100մգ/մլ, 100մլ ապակե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27.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Նադրոպարինի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կալցիումական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աղ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- b01ab0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Նադրոպարին կալցիում nadroparin calcium</w:t>
            </w: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5700ՄՄ AXa/0,6մլ, 0,6մլ նախալցված ներարկիչներ (2, 10)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</w:tbl>
    <w:p w:rsidR="00966377" w:rsidRPr="00AA34F9" w:rsidRDefault="00966377" w:rsidP="00AA34F9">
      <w:pPr>
        <w:spacing w:after="0"/>
        <w:rPr>
          <w:lang w:val="pt-BR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Pr="004D30C9" w:rsidRDefault="00966377" w:rsidP="004D30C9">
      <w:pPr>
        <w:rPr>
          <w:lang w:val="af-ZA"/>
        </w:rPr>
      </w:pPr>
    </w:p>
    <w:sectPr w:rsidR="00966377" w:rsidRPr="004D30C9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33F" w:rsidRDefault="008D633F" w:rsidP="00CC598F">
      <w:pPr>
        <w:spacing w:after="0" w:line="240" w:lineRule="auto"/>
      </w:pPr>
      <w:r>
        <w:separator/>
      </w:r>
    </w:p>
  </w:endnote>
  <w:endnote w:type="continuationSeparator" w:id="1">
    <w:p w:rsidR="008D633F" w:rsidRDefault="008D633F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93" w:rsidRDefault="000728E0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04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493" w:rsidRDefault="00570493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93" w:rsidRPr="00C70455" w:rsidRDefault="000728E0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570493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DB4BD6">
      <w:rPr>
        <w:rStyle w:val="PageNumber"/>
        <w:noProof/>
        <w:sz w:val="16"/>
        <w:szCs w:val="16"/>
      </w:rPr>
      <w:t>2</w:t>
    </w:r>
    <w:r w:rsidRPr="00C70455">
      <w:rPr>
        <w:rStyle w:val="PageNumber"/>
        <w:sz w:val="16"/>
        <w:szCs w:val="16"/>
      </w:rPr>
      <w:fldChar w:fldCharType="end"/>
    </w:r>
  </w:p>
  <w:p w:rsidR="00570493" w:rsidRDefault="00570493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33F" w:rsidRDefault="008D633F" w:rsidP="00CC598F">
      <w:pPr>
        <w:spacing w:after="0" w:line="240" w:lineRule="auto"/>
      </w:pPr>
      <w:r>
        <w:separator/>
      </w:r>
    </w:p>
  </w:footnote>
  <w:footnote w:type="continuationSeparator" w:id="1">
    <w:p w:rsidR="008D633F" w:rsidRDefault="008D633F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0F3661B"/>
    <w:multiLevelType w:val="hybridMultilevel"/>
    <w:tmpl w:val="B6CC24D8"/>
    <w:lvl w:ilvl="0" w:tplc="C262D554">
      <w:start w:val="2"/>
      <w:numFmt w:val="bullet"/>
      <w:lvlText w:val="-"/>
      <w:lvlJc w:val="left"/>
      <w:pPr>
        <w:ind w:left="502" w:hanging="360"/>
      </w:pPr>
      <w:rPr>
        <w:rFonts w:ascii="GHEA Grapalat" w:eastAsiaTheme="minorEastAsia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</w:num>
  <w:num w:numId="16">
    <w:abstractNumId w:val="19"/>
  </w:num>
  <w:num w:numId="17">
    <w:abstractNumId w:val="15"/>
  </w:num>
  <w:num w:numId="18">
    <w:abstractNumId w:val="5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44BFB"/>
    <w:rsid w:val="00053E2C"/>
    <w:rsid w:val="00062CF9"/>
    <w:rsid w:val="000678F6"/>
    <w:rsid w:val="0007103E"/>
    <w:rsid w:val="000728E0"/>
    <w:rsid w:val="00074928"/>
    <w:rsid w:val="00092558"/>
    <w:rsid w:val="000955A8"/>
    <w:rsid w:val="00097FEA"/>
    <w:rsid w:val="000B588C"/>
    <w:rsid w:val="000B6520"/>
    <w:rsid w:val="000C4434"/>
    <w:rsid w:val="000D4770"/>
    <w:rsid w:val="000F382B"/>
    <w:rsid w:val="00107F67"/>
    <w:rsid w:val="001263D7"/>
    <w:rsid w:val="001435CE"/>
    <w:rsid w:val="00163D4E"/>
    <w:rsid w:val="00187D18"/>
    <w:rsid w:val="001923DF"/>
    <w:rsid w:val="001A12E0"/>
    <w:rsid w:val="001A7467"/>
    <w:rsid w:val="001C4C13"/>
    <w:rsid w:val="001C51AD"/>
    <w:rsid w:val="001D5A2E"/>
    <w:rsid w:val="001E78D1"/>
    <w:rsid w:val="001F32AA"/>
    <w:rsid w:val="00216CE7"/>
    <w:rsid w:val="00223C1B"/>
    <w:rsid w:val="002519D8"/>
    <w:rsid w:val="0025626F"/>
    <w:rsid w:val="0028471B"/>
    <w:rsid w:val="00285428"/>
    <w:rsid w:val="002B7622"/>
    <w:rsid w:val="002C1E2A"/>
    <w:rsid w:val="002D3012"/>
    <w:rsid w:val="0031165E"/>
    <w:rsid w:val="003148DE"/>
    <w:rsid w:val="0032158C"/>
    <w:rsid w:val="00324CDE"/>
    <w:rsid w:val="00327385"/>
    <w:rsid w:val="00346B1C"/>
    <w:rsid w:val="0034705D"/>
    <w:rsid w:val="003542D9"/>
    <w:rsid w:val="00375B83"/>
    <w:rsid w:val="00393E5B"/>
    <w:rsid w:val="003979AD"/>
    <w:rsid w:val="003A12EB"/>
    <w:rsid w:val="003A226B"/>
    <w:rsid w:val="003A3915"/>
    <w:rsid w:val="003B22F9"/>
    <w:rsid w:val="003D2C6F"/>
    <w:rsid w:val="003E36C5"/>
    <w:rsid w:val="003F790B"/>
    <w:rsid w:val="00401240"/>
    <w:rsid w:val="004017D7"/>
    <w:rsid w:val="0040589D"/>
    <w:rsid w:val="00423F2E"/>
    <w:rsid w:val="00452D30"/>
    <w:rsid w:val="00465B97"/>
    <w:rsid w:val="00482715"/>
    <w:rsid w:val="00492D10"/>
    <w:rsid w:val="004B4D88"/>
    <w:rsid w:val="004D30C9"/>
    <w:rsid w:val="004D3B6B"/>
    <w:rsid w:val="004E355F"/>
    <w:rsid w:val="00543DC6"/>
    <w:rsid w:val="00554D75"/>
    <w:rsid w:val="00570493"/>
    <w:rsid w:val="005A5A63"/>
    <w:rsid w:val="005A7BD4"/>
    <w:rsid w:val="005D7158"/>
    <w:rsid w:val="005E5CA8"/>
    <w:rsid w:val="00606638"/>
    <w:rsid w:val="006104EF"/>
    <w:rsid w:val="00610A57"/>
    <w:rsid w:val="00616CC7"/>
    <w:rsid w:val="006200EA"/>
    <w:rsid w:val="00631832"/>
    <w:rsid w:val="00652AB1"/>
    <w:rsid w:val="006648B0"/>
    <w:rsid w:val="006660D5"/>
    <w:rsid w:val="00690FB5"/>
    <w:rsid w:val="006B389C"/>
    <w:rsid w:val="006D4BFE"/>
    <w:rsid w:val="00703E44"/>
    <w:rsid w:val="00715D7D"/>
    <w:rsid w:val="0072185B"/>
    <w:rsid w:val="00734509"/>
    <w:rsid w:val="00737D1D"/>
    <w:rsid w:val="00744D45"/>
    <w:rsid w:val="007769BF"/>
    <w:rsid w:val="00793CD1"/>
    <w:rsid w:val="00797749"/>
    <w:rsid w:val="007A5DF9"/>
    <w:rsid w:val="007C1E28"/>
    <w:rsid w:val="007E292E"/>
    <w:rsid w:val="007F6926"/>
    <w:rsid w:val="00810048"/>
    <w:rsid w:val="00811681"/>
    <w:rsid w:val="00826AC1"/>
    <w:rsid w:val="00831B27"/>
    <w:rsid w:val="00844691"/>
    <w:rsid w:val="00846593"/>
    <w:rsid w:val="0086279D"/>
    <w:rsid w:val="00864F2C"/>
    <w:rsid w:val="0086653A"/>
    <w:rsid w:val="00867CE1"/>
    <w:rsid w:val="00887DCE"/>
    <w:rsid w:val="00887DE7"/>
    <w:rsid w:val="008D379B"/>
    <w:rsid w:val="008D633F"/>
    <w:rsid w:val="008E673F"/>
    <w:rsid w:val="008F0D2A"/>
    <w:rsid w:val="008F12F5"/>
    <w:rsid w:val="00914C3F"/>
    <w:rsid w:val="00936FF8"/>
    <w:rsid w:val="0096026A"/>
    <w:rsid w:val="00966377"/>
    <w:rsid w:val="009819EC"/>
    <w:rsid w:val="0099581F"/>
    <w:rsid w:val="009A1902"/>
    <w:rsid w:val="009C02C8"/>
    <w:rsid w:val="009C19A9"/>
    <w:rsid w:val="009C71D7"/>
    <w:rsid w:val="009D76AF"/>
    <w:rsid w:val="009F1793"/>
    <w:rsid w:val="00A04CE9"/>
    <w:rsid w:val="00A66885"/>
    <w:rsid w:val="00AA34F9"/>
    <w:rsid w:val="00AA7CBE"/>
    <w:rsid w:val="00AB5CF3"/>
    <w:rsid w:val="00AC03D9"/>
    <w:rsid w:val="00AD2570"/>
    <w:rsid w:val="00AD5139"/>
    <w:rsid w:val="00AD68A8"/>
    <w:rsid w:val="00AE1932"/>
    <w:rsid w:val="00AF2B22"/>
    <w:rsid w:val="00AF3200"/>
    <w:rsid w:val="00B43F95"/>
    <w:rsid w:val="00B477C2"/>
    <w:rsid w:val="00B51DC5"/>
    <w:rsid w:val="00B564C4"/>
    <w:rsid w:val="00B57F6E"/>
    <w:rsid w:val="00B73A83"/>
    <w:rsid w:val="00B92E4B"/>
    <w:rsid w:val="00B95978"/>
    <w:rsid w:val="00B95AA2"/>
    <w:rsid w:val="00B9636F"/>
    <w:rsid w:val="00BA1EFA"/>
    <w:rsid w:val="00BC1887"/>
    <w:rsid w:val="00BC3192"/>
    <w:rsid w:val="00BD6EC9"/>
    <w:rsid w:val="00C00D05"/>
    <w:rsid w:val="00C120F8"/>
    <w:rsid w:val="00C16C0C"/>
    <w:rsid w:val="00C90FE8"/>
    <w:rsid w:val="00C92CEF"/>
    <w:rsid w:val="00CA12B5"/>
    <w:rsid w:val="00CC598F"/>
    <w:rsid w:val="00CD14D4"/>
    <w:rsid w:val="00CE3D67"/>
    <w:rsid w:val="00CF3354"/>
    <w:rsid w:val="00CF53B2"/>
    <w:rsid w:val="00D151F0"/>
    <w:rsid w:val="00D20979"/>
    <w:rsid w:val="00D316D6"/>
    <w:rsid w:val="00D54F15"/>
    <w:rsid w:val="00D55F8E"/>
    <w:rsid w:val="00D64625"/>
    <w:rsid w:val="00D73678"/>
    <w:rsid w:val="00D86341"/>
    <w:rsid w:val="00D91866"/>
    <w:rsid w:val="00D9244C"/>
    <w:rsid w:val="00DB1744"/>
    <w:rsid w:val="00DB4BD6"/>
    <w:rsid w:val="00DC1614"/>
    <w:rsid w:val="00E15722"/>
    <w:rsid w:val="00E202BD"/>
    <w:rsid w:val="00E21AE1"/>
    <w:rsid w:val="00E371B8"/>
    <w:rsid w:val="00E67FEB"/>
    <w:rsid w:val="00E91293"/>
    <w:rsid w:val="00E91B71"/>
    <w:rsid w:val="00E9434F"/>
    <w:rsid w:val="00ED13E2"/>
    <w:rsid w:val="00ED14E8"/>
    <w:rsid w:val="00F01A36"/>
    <w:rsid w:val="00F056D2"/>
    <w:rsid w:val="00F07447"/>
    <w:rsid w:val="00F15357"/>
    <w:rsid w:val="00F25A14"/>
    <w:rsid w:val="00F26D6F"/>
    <w:rsid w:val="00F37D3C"/>
    <w:rsid w:val="00F52073"/>
    <w:rsid w:val="00F70DE0"/>
    <w:rsid w:val="00F7717E"/>
    <w:rsid w:val="00F8047C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73EB-6884-43D9-9467-C806529B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3369</Words>
  <Characters>19206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27</cp:revision>
  <cp:lastPrinted>2018-03-28T22:37:00Z</cp:lastPrinted>
  <dcterms:created xsi:type="dcterms:W3CDTF">2017-11-02T18:07:00Z</dcterms:created>
  <dcterms:modified xsi:type="dcterms:W3CDTF">2018-03-28T22:37:00Z</dcterms:modified>
</cp:coreProperties>
</file>